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0" w:after="480" w:line="240" w:lineRule="auto"/>
        <w:ind w:left="0"/>
        <w:textAlignment w:val="auto"/>
        <w:rPr>
          <w:rFonts w:hint="eastAsia" w:ascii="方正楷体_GB2312" w:hAnsi="方正楷体_GB2312" w:eastAsia="方正楷体_GB2312" w:cs="方正楷体_GB2312"/>
          <w:sz w:val="11"/>
          <w:szCs w:val="13"/>
        </w:rPr>
      </w:pPr>
      <w:r>
        <w:rPr>
          <w:rFonts w:hint="eastAsia" w:ascii="方正楷体_GB2312" w:hAnsi="方正楷体_GB2312" w:eastAsia="方正楷体_GB2312" w:cs="方正楷体_GB2312"/>
          <w:b/>
          <w:sz w:val="28"/>
          <w:szCs w:val="13"/>
          <w:lang w:val="en-US" w:eastAsia="zh-CN"/>
        </w:rPr>
        <w:t>2026年3月强基联考</w:t>
      </w:r>
      <w:r>
        <w:rPr>
          <w:rFonts w:hint="eastAsia" w:ascii="方正楷体_GB2312" w:hAnsi="方正楷体_GB2312" w:eastAsia="方正楷体_GB2312" w:cs="方正楷体_GB2312"/>
          <w:b/>
          <w:sz w:val="28"/>
          <w:szCs w:val="13"/>
        </w:rPr>
        <w:t>高三英语应用文写作教学设计：从‘完成任务’到‘打动人心’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0" w:name="heading_1"/>
      <w:r>
        <w:rPr>
          <w:rFonts w:hint="eastAsia" w:ascii="方正楷体_GB2312" w:hAnsi="方正楷体_GB2312" w:eastAsia="方正楷体_GB2312" w:cs="方正楷体_GB2312"/>
          <w:b/>
          <w:sz w:val="32"/>
        </w:rPr>
        <w:t>一、教学基本信息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授课年级</w:t>
      </w:r>
      <w:r>
        <w:rPr>
          <w:rFonts w:hint="eastAsia" w:ascii="方正楷体_GB2312" w:hAnsi="方正楷体_GB2312" w:eastAsia="方正楷体_GB2312" w:cs="方正楷体_GB2312"/>
          <w:sz w:val="22"/>
        </w:rPr>
        <w:t>：高三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授课时长</w:t>
      </w:r>
      <w:r>
        <w:rPr>
          <w:rFonts w:hint="eastAsia" w:ascii="方正楷体_GB2312" w:hAnsi="方正楷体_GB2312" w:eastAsia="方正楷体_GB2312" w:cs="方正楷体_GB2312"/>
          <w:sz w:val="22"/>
        </w:rPr>
        <w:t>：45分钟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授课内容</w:t>
      </w:r>
      <w:r>
        <w:rPr>
          <w:rFonts w:hint="eastAsia" w:ascii="方正楷体_GB2312" w:hAnsi="方正楷体_GB2312" w:eastAsia="方正楷体_GB2312" w:cs="方正楷体_GB2312"/>
          <w:sz w:val="22"/>
        </w:rPr>
        <w:t>：应用文写作之“爱护公物”主题演讲稿讲评与技法指导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学情分析</w:t>
      </w:r>
      <w:r>
        <w:rPr>
          <w:rFonts w:hint="eastAsia" w:ascii="方正楷体_GB2312" w:hAnsi="方正楷体_GB2312" w:eastAsia="方正楷体_GB2312" w:cs="方正楷体_GB2312"/>
          <w:sz w:val="22"/>
        </w:rPr>
        <w:t>：高三学生已掌握演讲稿基本格式和简单写作技巧，能完成基础写作任务，但存在语言干瘪、缺乏画面感和情感共鸣、仅停留在“完成要求”层面的问题；强基班学生具备一定的逻辑思维和词汇储备，可进一步提升写作的感染力和说服力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知识与技能：掌握演讲稿“开头-主体-结尾”的结构化框架，学会用具体细节、情感词汇和修辞提升语言表现力，能写出80词左右、兼具完整性和感染力的演讲稿。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过程与方法：通过审题分析、范文对比、技法探究、实战练习，体会从“完成任务”到“打动人心”的写作思路转变，提升批判性思维和书面表达能力。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情感态度与价值观：树立“爱护公物”的意识，理解语言学习的核心是完成真实交际任务，培养用英语表达观点、传递情感的能力。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b/>
          <w:sz w:val="22"/>
        </w:rPr>
        <w:t>教学重难点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重点：演讲稿的结构化写作，用具体细节和情感词汇描述现象，设计有感染力的开头和有号召力的结尾。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难点：实现从“客观陈述”到“情感共鸣”的转变，将写作要求与真实交际目的结合，让演讲稿兼具逻辑性和说服力。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" w:name="heading_2"/>
      <w:r>
        <w:rPr>
          <w:rFonts w:hint="eastAsia" w:ascii="方正楷体_GB2312" w:hAnsi="方正楷体_GB2312" w:eastAsia="方正楷体_GB2312" w:cs="方正楷体_GB2312"/>
          <w:b/>
          <w:sz w:val="32"/>
        </w:rPr>
        <w:t>二、教学准备</w:t>
      </w:r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多媒体课件（PPT）：包含联考写作真题、审题分析、结构框架、技法对比、范文示例等内容；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练习单：打印写作真题和空白写作模板，供学生课堂实战使用；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学情反馈：提前收集学生联考写作答案，梳理共性问题（如语言平淡、无情感、结构松散等）。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2" w:name="heading_3"/>
      <w:r>
        <w:rPr>
          <w:rFonts w:hint="eastAsia" w:ascii="方正楷体_GB2312" w:hAnsi="方正楷体_GB2312" w:eastAsia="方正楷体_GB2312" w:cs="方正楷体_GB2312"/>
          <w:b/>
          <w:sz w:val="32"/>
        </w:rPr>
        <w:t>三、教学过程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3" w:name="heading_4"/>
      <w:r>
        <w:rPr>
          <w:rFonts w:hint="eastAsia" w:ascii="方正楷体_GB2312" w:hAnsi="方正楷体_GB2312" w:eastAsia="方正楷体_GB2312" w:cs="方正楷体_GB2312"/>
          <w:b/>
          <w:sz w:val="30"/>
        </w:rPr>
        <w:t>（一）课堂导入：真题切入，直击问题（5分钟）</w:t>
      </w:r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呈现2026年3月强基联考英语应用文写作真题（爱护公物主题演讲稿），提问学生：“拿到这个题目，你第一时间会写什么？”邀请2-3名学生口头回答，梳理学生的常规写作思路。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展示学生联考写作中的共性问题片段（如“Many desks are dirty. We should take care of them.”），引导学生思考：“这样的表达能说服同学、引起共鸣吗？问题出在哪里？”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引出本节课核心主题：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演讲稿写作不仅要“完成任务”，更要“打动人心”</w:t>
      </w:r>
      <w:r>
        <w:rPr>
          <w:rFonts w:hint="eastAsia" w:ascii="方正楷体_GB2312" w:hAnsi="方正楷体_GB2312" w:eastAsia="方正楷体_GB2312" w:cs="方正楷体_GB2312"/>
          <w:sz w:val="22"/>
        </w:rPr>
        <w:t>，明确本节课的学习目标——掌握让演讲稿有画面、有情感、有说服力的写作技法。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20" w:name="_GoBack"/>
      <w:bookmarkEnd w:id="20"/>
      <w:bookmarkStart w:id="4" w:name="heading_5"/>
      <w:r>
        <w:rPr>
          <w:rFonts w:hint="eastAsia" w:ascii="方正楷体_GB2312" w:hAnsi="方正楷体_GB2312" w:eastAsia="方正楷体_GB2312" w:cs="方正楷体_GB2312"/>
          <w:b/>
          <w:sz w:val="30"/>
        </w:rPr>
        <w:t>（二）审题分析：明确要素，理清方向（7分钟）</w:t>
      </w:r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带领学生一起拆解写作任务，逐一明确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Task、Genre、Format、Tone、Identity、Audience、Key Points</w:t>
      </w:r>
      <w:r>
        <w:rPr>
          <w:rFonts w:hint="eastAsia" w:ascii="方正楷体_GB2312" w:hAnsi="方正楷体_GB2312" w:eastAsia="方正楷体_GB2312" w:cs="方正楷体_GB2312"/>
          <w:sz w:val="22"/>
        </w:rPr>
        <w:t>七大核心要素，填写练习单上的审题表：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Task：英语课上一分钟“爱护公物”主题演讲；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Genre：演讲稿，格式为“问候-开头-主体-结尾-致谢”；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Tone：正式、礼貌、有说服力；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Identity：李华（学生代表）；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Audience：老师和同学；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Key Points：描述课桌污损现象+呼吁爱护公物。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提出反思问题：“明确这些要素后，你的写作方向是不是更清晰了？”引导学生理解：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审题是写作的基础，精准定位要素才能避免偏题，让写作更有针对性</w:t>
      </w:r>
      <w:r>
        <w:rPr>
          <w:rFonts w:hint="eastAsia" w:ascii="方正楷体_GB2312" w:hAnsi="方正楷体_GB2312" w:eastAsia="方正楷体_GB2312" w:cs="方正楷体_GB2312"/>
          <w:sz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5" w:name="heading_6"/>
      <w:r>
        <w:rPr>
          <w:rFonts w:hint="eastAsia" w:ascii="方正楷体_GB2312" w:hAnsi="方正楷体_GB2312" w:eastAsia="方正楷体_GB2312" w:cs="方正楷体_GB2312"/>
          <w:b/>
          <w:sz w:val="30"/>
        </w:rPr>
        <w:t>（三）技法探究：拆解结构，从“完成”到“打动”（20分钟）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本环节以演讲稿“开头-主体-结尾”的结构为线索，通过“完成任务版”与“打动人心版”的对比，让学生自主探究写作技法，教师适时点拨总结。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60" w:after="120" w:line="240" w:lineRule="auto"/>
        <w:ind w:left="0"/>
        <w:jc w:val="left"/>
        <w:textAlignment w:val="auto"/>
        <w:outlineLvl w:val="3"/>
        <w:rPr>
          <w:rFonts w:hint="eastAsia" w:ascii="方正楷体_GB2312" w:hAnsi="方正楷体_GB2312" w:eastAsia="方正楷体_GB2312" w:cs="方正楷体_GB2312"/>
        </w:rPr>
      </w:pPr>
      <w:bookmarkStart w:id="6" w:name="heading_7"/>
      <w:r>
        <w:rPr>
          <w:rFonts w:hint="eastAsia" w:ascii="方正楷体_GB2312" w:hAnsi="方正楷体_GB2312" w:eastAsia="方正楷体_GB2312" w:cs="方正楷体_GB2312"/>
          <w:b/>
          <w:sz w:val="28"/>
        </w:rPr>
        <w:t>1. 开头：抓牢注意力，引发思考</w:t>
      </w:r>
      <w:bookmarkEnd w:id="6"/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展示“完成任务版”开头：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Today, my topic is “Taking Care of Public Property”</w:t>
      </w:r>
      <w:r>
        <w:rPr>
          <w:rFonts w:hint="eastAsia" w:ascii="方正楷体_GB2312" w:hAnsi="方正楷体_GB2312" w:eastAsia="方正楷体_GB2312" w:cs="方正楷体_GB2312"/>
          <w:sz w:val="22"/>
        </w:rPr>
        <w:t>，分析特点：直接点题，但平淡无吸引力，无法让听众快速进入状态。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呈现四种“打动人心版”开头思路（时间对比、拟人化、考场场景、反向提问），结合示例分析核心技巧：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从具体场景切入，用提问/对比引发换位思考，制造情感钩子</w:t>
      </w:r>
      <w:r>
        <w:rPr>
          <w:rFonts w:hint="eastAsia" w:ascii="方正楷体_GB2312" w:hAnsi="方正楷体_GB2312" w:eastAsia="方正楷体_GB2312" w:cs="方正楷体_GB2312"/>
          <w:sz w:val="2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课堂小练：让学生选择一种思路，写1句演讲稿开头，邀请2名学生分享，教师简单点评。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60" w:after="120" w:line="240" w:lineRule="auto"/>
        <w:ind w:left="0"/>
        <w:jc w:val="left"/>
        <w:textAlignment w:val="auto"/>
        <w:outlineLvl w:val="3"/>
        <w:rPr>
          <w:rFonts w:hint="eastAsia" w:ascii="方正楷体_GB2312" w:hAnsi="方正楷体_GB2312" w:eastAsia="方正楷体_GB2312" w:cs="方正楷体_GB2312"/>
        </w:rPr>
      </w:pPr>
      <w:bookmarkStart w:id="7" w:name="heading_8"/>
      <w:r>
        <w:rPr>
          <w:rFonts w:hint="eastAsia" w:ascii="方正楷体_GB2312" w:hAnsi="方正楷体_GB2312" w:eastAsia="方正楷体_GB2312" w:cs="方正楷体_GB2312"/>
          <w:b/>
          <w:sz w:val="28"/>
        </w:rPr>
        <w:t>2. 主体：描述有画面，建立联系</w:t>
      </w:r>
      <w:bookmarkEnd w:id="7"/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展示“完成任务版”主体：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Many desks are dirty and covered with scribbles. The clean surface is full of marks</w:t>
      </w:r>
      <w:r>
        <w:rPr>
          <w:rFonts w:hint="eastAsia" w:ascii="方正楷体_GB2312" w:hAnsi="方正楷体_GB2312" w:eastAsia="方正楷体_GB2312" w:cs="方正楷体_GB2312"/>
          <w:sz w:val="22"/>
        </w:rPr>
        <w:t>，分析问题：词汇笼统、无细节、无情感、无共鸣，像“机器人说话”。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讲解“打动人心版”核心技法：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① 词汇升级：用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covered in scratches and stains、unwanted graffiti、random words and patterns</w:t>
      </w:r>
      <w:r>
        <w:rPr>
          <w:rFonts w:hint="eastAsia" w:ascii="方正楷体_GB2312" w:hAnsi="方正楷体_GB2312" w:eastAsia="方正楷体_GB2312" w:cs="方正楷体_GB2312"/>
          <w:sz w:val="22"/>
        </w:rPr>
        <w:t>替代笼统的“dirty、marks”；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② 细节描绘：加入具体画面（如“ink stains that won't wash off、carved into the wood”）；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③ 注入情感：用“It’s such a pity to see...”表达惋惜，将课桌比作“battlefield”（奋斗的战场）建立情感联结；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④ 升华关联：说明现象的影响（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Those marks don't just hurt the desk. They hurt us.</w:t>
      </w:r>
      <w:r>
        <w:rPr>
          <w:rFonts w:hint="eastAsia" w:ascii="方正楷体_GB2312" w:hAnsi="方正楷体_GB2312" w:eastAsia="方正楷体_GB2312" w:cs="方正楷体_GB2312"/>
          <w:sz w:val="22"/>
        </w:rPr>
        <w:t>），让听众意识到“此事与我相关”。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对比展示学生修改前的片段和升级后的片段，让学生直观感受差异，总结：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主体写作要“从看见到感受再到认同”</w:t>
      </w:r>
      <w:r>
        <w:rPr>
          <w:rFonts w:hint="eastAsia" w:ascii="方正楷体_GB2312" w:hAnsi="方正楷体_GB2312" w:eastAsia="方正楷体_GB2312" w:cs="方正楷体_GB2312"/>
          <w:sz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60" w:after="120" w:line="240" w:lineRule="auto"/>
        <w:ind w:left="0"/>
        <w:jc w:val="left"/>
        <w:textAlignment w:val="auto"/>
        <w:outlineLvl w:val="3"/>
        <w:rPr>
          <w:rFonts w:hint="eastAsia" w:ascii="方正楷体_GB2312" w:hAnsi="方正楷体_GB2312" w:eastAsia="方正楷体_GB2312" w:cs="方正楷体_GB2312"/>
        </w:rPr>
      </w:pPr>
      <w:bookmarkStart w:id="8" w:name="heading_9"/>
      <w:r>
        <w:rPr>
          <w:rFonts w:hint="eastAsia" w:ascii="方正楷体_GB2312" w:hAnsi="方正楷体_GB2312" w:eastAsia="方正楷体_GB2312" w:cs="方正楷体_GB2312"/>
          <w:b/>
          <w:sz w:val="28"/>
        </w:rPr>
        <w:t>3. 结尾：倡议可落地，升华主题</w:t>
      </w:r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展示“完成任务版”结尾：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We should take care of public property. Please don't draw on the desks</w:t>
      </w:r>
      <w:r>
        <w:rPr>
          <w:rFonts w:hint="eastAsia" w:ascii="方正楷体_GB2312" w:hAnsi="方正楷体_GB2312" w:eastAsia="方正楷体_GB2312" w:cs="方正楷体_GB2312"/>
          <w:sz w:val="22"/>
        </w:rPr>
        <w:t>，分析问题：仅简单呼吁/禁止，无具体行动，无主题升华，缺乏号召力。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讲解“打动人心版”核心技法：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① 具体行动：提出可行的小倡议（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Keep your desk clean. Wipe away the marks if you can.</w:t>
      </w:r>
      <w:r>
        <w:rPr>
          <w:rFonts w:hint="eastAsia" w:ascii="方正楷体_GB2312" w:hAnsi="方正楷体_GB2312" w:eastAsia="方正楷体_GB2312" w:cs="方正楷体_GB2312"/>
          <w:sz w:val="22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② 升华意义：将“爱护公物”从“保护物品”上升到“个人素养、集体荣誉、相互尊重”（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A clean classroom shows our self-respect and respect for each other.</w:t>
      </w:r>
      <w:r>
        <w:rPr>
          <w:rFonts w:hint="eastAsia" w:ascii="方正楷体_GB2312" w:hAnsi="方正楷体_GB2312" w:eastAsia="方正楷体_GB2312" w:cs="方正楷体_GB2312"/>
          <w:sz w:val="22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③ 有力收尾：用祈使句营造号召力（</w:t>
      </w:r>
      <w:r>
        <w:rPr>
          <w:rFonts w:hint="eastAsia" w:ascii="方正楷体_GB2312" w:hAnsi="方正楷体_GB2312" w:eastAsia="方正楷体_GB2312" w:cs="方正楷体_GB2312"/>
          <w:i/>
          <w:sz w:val="22"/>
        </w:rPr>
        <w:t>Let's start right now, and treat our classroom like the shared home it truly is.</w:t>
      </w:r>
      <w:r>
        <w:rPr>
          <w:rFonts w:hint="eastAsia" w:ascii="方正楷体_GB2312" w:hAnsi="方正楷体_GB2312" w:eastAsia="方正楷体_GB2312" w:cs="方正楷体_GB2312"/>
          <w:sz w:val="22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总结：结尾不是“简单喊口号”，而是**“提行动+升意义+强号召”**，让听众愿意接受并践行倡议。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60" w:after="120" w:line="240" w:lineRule="auto"/>
        <w:ind w:left="0"/>
        <w:jc w:val="left"/>
        <w:textAlignment w:val="auto"/>
        <w:outlineLvl w:val="3"/>
        <w:rPr>
          <w:rFonts w:hint="eastAsia" w:ascii="方正楷体_GB2312" w:hAnsi="方正楷体_GB2312" w:eastAsia="方正楷体_GB2312" w:cs="方正楷体_GB2312"/>
        </w:rPr>
      </w:pPr>
      <w:bookmarkStart w:id="9" w:name="heading_10"/>
      <w:r>
        <w:rPr>
          <w:rFonts w:hint="eastAsia" w:ascii="方正楷体_GB2312" w:hAnsi="方正楷体_GB2312" w:eastAsia="方正楷体_GB2312" w:cs="方正楷体_GB2312"/>
          <w:b/>
          <w:sz w:val="28"/>
        </w:rPr>
        <w:t>4. 核心原则提炼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结合以上探究，提出演讲稿写作的核心公式：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See the scene → Think the meaning → Speak to the heart</w:t>
      </w:r>
      <w:r>
        <w:rPr>
          <w:rFonts w:hint="eastAsia" w:ascii="方正楷体_GB2312" w:hAnsi="方正楷体_GB2312" w:eastAsia="方正楷体_GB2312" w:cs="方正楷体_GB2312"/>
          <w:sz w:val="22"/>
        </w:rPr>
        <w:t>，并展示三层思考维度：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任务层：Did I cover everything the prompt asked?（是否完成所有要求？）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深度层：Why does it matter?（背后的核心意义是什么？）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情感层：How do I make them care?（如何让听众产生共鸣？）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10" w:name="heading_11"/>
      <w:r>
        <w:rPr>
          <w:rFonts w:hint="eastAsia" w:ascii="方正楷体_GB2312" w:hAnsi="方正楷体_GB2312" w:eastAsia="方正楷体_GB2312" w:cs="方正楷体_GB2312"/>
          <w:b/>
          <w:sz w:val="30"/>
        </w:rPr>
        <w:t>（四）范文赏析：对比研读，吸收亮点（5分钟）</w:t>
      </w:r>
      <w:bookmarkEnd w:id="10"/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呈现课件中的两篇范文，让学生快速阅读，标注出范文中符合“打动人心”技法的词句（如细节描写、情感词汇、修辞、行动倡议等）。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带领学生分析范文1和范文2的差异：范文1兼顾结构完整和情感表达，适合基础巩固；范文2更注重场景描绘和互动感，感染力更强，适合拔高。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强调：优秀的演讲稿不是“生搬硬套”，而是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在完成任务的基础上，融入真实的情感和具体的表达</w:t>
      </w:r>
      <w:r>
        <w:rPr>
          <w:rFonts w:hint="eastAsia" w:ascii="方正楷体_GB2312" w:hAnsi="方正楷体_GB2312" w:eastAsia="方正楷体_GB2312" w:cs="方正楷体_GB2312"/>
          <w:sz w:val="22"/>
        </w:rPr>
        <w:t>，贴合听众的心理和认知。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11" w:name="heading_12"/>
      <w:r>
        <w:rPr>
          <w:rFonts w:hint="eastAsia" w:ascii="方正楷体_GB2312" w:hAnsi="方正楷体_GB2312" w:eastAsia="方正楷体_GB2312" w:cs="方正楷体_GB2312"/>
          <w:b/>
          <w:sz w:val="30"/>
        </w:rPr>
        <w:t>（五）课堂实战：学以致用，即时练笔（7分钟）</w:t>
      </w:r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让学生结合本节课所学技法，以“爱护公物”为主题，完成80词左右的演讲稿写作，使用练习单上的写作框架（开头-主体-结尾），要求：</w:t>
      </w: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开头有吸引力，主体有细节和情感，结尾有行动和升华；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词数符合要求，行文连贯。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教师巡视课堂，对学生的写作进行个别指导，重点关注词汇使用、细节描绘和情感表达，及时纠正共性问题。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00" w:after="120" w:line="240" w:lineRule="auto"/>
        <w:ind w:left="0"/>
        <w:jc w:val="left"/>
        <w:textAlignment w:val="auto"/>
        <w:outlineLvl w:val="2"/>
        <w:rPr>
          <w:rFonts w:hint="eastAsia" w:ascii="方正楷体_GB2312" w:hAnsi="方正楷体_GB2312" w:eastAsia="方正楷体_GB2312" w:cs="方正楷体_GB2312"/>
        </w:rPr>
      </w:pPr>
      <w:bookmarkStart w:id="12" w:name="heading_13"/>
      <w:r>
        <w:rPr>
          <w:rFonts w:hint="eastAsia" w:ascii="方正楷体_GB2312" w:hAnsi="方正楷体_GB2312" w:eastAsia="方正楷体_GB2312" w:cs="方正楷体_GB2312"/>
          <w:b/>
          <w:sz w:val="30"/>
        </w:rPr>
        <w:t>（六）课堂小结与作业布置（1分钟）</w:t>
      </w:r>
      <w:bookmarkEnd w:id="12"/>
    </w:p>
    <w:p>
      <w:pPr>
        <w:keepNext w:val="0"/>
        <w:keepLines w:val="0"/>
        <w:pageBreakBefore w:val="0"/>
        <w:widowControl w:val="0"/>
        <w:numPr>
          <w:ilvl w:val="0"/>
          <w:numId w:val="4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小结：本节课我们掌握了演讲稿“开头-主体-结尾”的结构化写作技法，理解了从“完成任务”到“打动人心”的核心是</w:t>
      </w:r>
      <w:r>
        <w:rPr>
          <w:rFonts w:hint="eastAsia" w:ascii="方正楷体_GB2312" w:hAnsi="方正楷体_GB2312" w:eastAsia="方正楷体_GB2312" w:cs="方正楷体_GB2312"/>
          <w:b/>
          <w:sz w:val="22"/>
        </w:rPr>
        <w:t>细节描绘、情感共鸣、真实交际</w:t>
      </w:r>
      <w:r>
        <w:rPr>
          <w:rFonts w:hint="eastAsia" w:ascii="方正楷体_GB2312" w:hAnsi="方正楷体_GB2312" w:eastAsia="方正楷体_GB2312" w:cs="方正楷体_GB2312"/>
          <w:sz w:val="22"/>
        </w:rPr>
        <w:t>，而语言学习的本质不是为了考试，而是完成真实的交际任务。</w:t>
      </w:r>
    </w:p>
    <w:p>
      <w:pPr>
        <w:keepNext w:val="0"/>
        <w:keepLines w:val="0"/>
        <w:pageBreakBefore w:val="0"/>
        <w:widowControl w:val="0"/>
        <w:numPr>
          <w:ilvl w:val="0"/>
          <w:numId w:val="4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作业布置：</w:t>
      </w:r>
    </w:p>
    <w:p>
      <w:pPr>
        <w:keepNext w:val="0"/>
        <w:keepLines w:val="0"/>
        <w:pageBreakBefore w:val="0"/>
        <w:widowControl w:val="0"/>
        <w:numPr>
          <w:ilvl w:val="0"/>
          <w:numId w:val="4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完善课堂上的演讲稿，同桌之间互相批改，标注出对方写作中的“亮点”和“可改进点”；</w:t>
      </w:r>
    </w:p>
    <w:p>
      <w:pPr>
        <w:keepNext w:val="0"/>
        <w:keepLines w:val="0"/>
        <w:pageBreakBefore w:val="0"/>
        <w:widowControl w:val="0"/>
        <w:numPr>
          <w:ilvl w:val="0"/>
          <w:numId w:val="4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积累本节课所学的描写类、情感类词汇，整理到写作积累本上；</w:t>
      </w:r>
    </w:p>
    <w:p>
      <w:pPr>
        <w:keepNext w:val="0"/>
        <w:keepLines w:val="0"/>
        <w:pageBreakBefore w:val="0"/>
        <w:widowControl w:val="0"/>
        <w:numPr>
          <w:ilvl w:val="0"/>
          <w:numId w:val="4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453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以“珍惜校园环境”为主题，写一篇80词左右的演讲稿，运用本节课的技法。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3" w:name="heading_14"/>
      <w:r>
        <w:rPr>
          <w:rFonts w:hint="eastAsia" w:ascii="方正楷体_GB2312" w:hAnsi="方正楷体_GB2312" w:eastAsia="方正楷体_GB2312" w:cs="方正楷体_GB2312"/>
          <w:b/>
          <w:sz w:val="32"/>
        </w:rPr>
        <w:t>四、板书设计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0" w:after="140" w:line="240" w:lineRule="auto"/>
        <w:ind w:left="0"/>
        <w:jc w:val="left"/>
        <w:textAlignment w:val="auto"/>
        <w:outlineLvl w:val="0"/>
        <w:rPr>
          <w:rFonts w:hint="eastAsia" w:ascii="方正楷体_GB2312" w:hAnsi="方正楷体_GB2312" w:eastAsia="方正楷体_GB2312" w:cs="方正楷体_GB2312"/>
        </w:rPr>
      </w:pPr>
      <w:bookmarkStart w:id="14" w:name="heading_15"/>
      <w:r>
        <w:rPr>
          <w:rFonts w:hint="eastAsia" w:ascii="方正楷体_GB2312" w:hAnsi="方正楷体_GB2312" w:eastAsia="方正楷体_GB2312" w:cs="方正楷体_GB2312"/>
          <w:b/>
          <w:sz w:val="36"/>
        </w:rPr>
        <w:t>高三英语演讲稿写作：从“完成任务”到“打动人心”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5" w:name="heading_16"/>
      <w:r>
        <w:rPr>
          <w:rFonts w:hint="eastAsia" w:ascii="方正楷体_GB2312" w:hAnsi="方正楷体_GB2312" w:eastAsia="方正楷体_GB2312" w:cs="方正楷体_GB2312"/>
          <w:b/>
          <w:sz w:val="32"/>
        </w:rPr>
        <w:t>一、审题要素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Task/Genre/Format/Tone/Identity/Audience/Key Points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6" w:name="heading_17"/>
      <w:r>
        <w:rPr>
          <w:rFonts w:hint="eastAsia" w:ascii="方正楷体_GB2312" w:hAnsi="方正楷体_GB2312" w:eastAsia="方正楷体_GB2312" w:cs="方正楷体_GB2312"/>
          <w:b/>
          <w:sz w:val="32"/>
        </w:rPr>
        <w:t>二、结构框架</w:t>
      </w:r>
      <w:bookmarkEnd w:id="16"/>
    </w:p>
    <w:p>
      <w:pPr>
        <w:keepNext w:val="0"/>
        <w:keepLines w:val="0"/>
        <w:pageBreakBefore w:val="0"/>
        <w:widowControl w:val="0"/>
        <w:numPr>
          <w:ilvl w:val="0"/>
          <w:numId w:val="5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开头：抓注意力→场景切入+提问/对比</w:t>
      </w:r>
    </w:p>
    <w:p>
      <w:pPr>
        <w:keepNext w:val="0"/>
        <w:keepLines w:val="0"/>
        <w:pageBreakBefore w:val="0"/>
        <w:widowControl w:val="0"/>
        <w:numPr>
          <w:ilvl w:val="0"/>
          <w:numId w:val="5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主体：有画面→细节描绘+情感词汇+建立关联</w:t>
      </w:r>
    </w:p>
    <w:p>
      <w:pPr>
        <w:keepNext w:val="0"/>
        <w:keepLines w:val="0"/>
        <w:pageBreakBefore w:val="0"/>
        <w:widowControl w:val="0"/>
        <w:numPr>
          <w:ilvl w:val="0"/>
          <w:numId w:val="5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结尾：有号召力→具体行动+主题升华+祈使句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7" w:name="heading_18"/>
      <w:r>
        <w:rPr>
          <w:rFonts w:hint="eastAsia" w:ascii="方正楷体_GB2312" w:hAnsi="方正楷体_GB2312" w:eastAsia="方正楷体_GB2312" w:cs="方正楷体_GB2312"/>
          <w:b/>
          <w:sz w:val="32"/>
        </w:rPr>
        <w:t>三、核心公式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See the scene → Think the meaning → Speak to the heart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8" w:name="heading_19"/>
      <w:r>
        <w:rPr>
          <w:rFonts w:hint="eastAsia" w:ascii="方正楷体_GB2312" w:hAnsi="方正楷体_GB2312" w:eastAsia="方正楷体_GB2312" w:cs="方正楷体_GB2312"/>
          <w:b/>
          <w:sz w:val="32"/>
        </w:rPr>
        <w:t>四、核心理念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语言学习=完成真实的交际任务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0" w:after="120" w:line="240" w:lineRule="auto"/>
        <w:ind w:left="0"/>
        <w:jc w:val="left"/>
        <w:textAlignment w:val="auto"/>
        <w:outlineLvl w:val="1"/>
        <w:rPr>
          <w:rFonts w:hint="eastAsia" w:ascii="方正楷体_GB2312" w:hAnsi="方正楷体_GB2312" w:eastAsia="方正楷体_GB2312" w:cs="方正楷体_GB2312"/>
        </w:rPr>
      </w:pPr>
      <w:bookmarkStart w:id="19" w:name="heading_20"/>
      <w:r>
        <w:rPr>
          <w:rFonts w:hint="eastAsia" w:ascii="方正楷体_GB2312" w:hAnsi="方正楷体_GB2312" w:eastAsia="方正楷体_GB2312" w:cs="方正楷体_GB2312"/>
          <w:b/>
          <w:sz w:val="32"/>
        </w:rPr>
        <w:t>五、教学反思</w:t>
      </w:r>
      <w:bookmarkEnd w:id="19"/>
    </w:p>
    <w:p>
      <w:pPr>
        <w:keepNext w:val="0"/>
        <w:keepLines w:val="0"/>
        <w:pageBreakBefore w:val="0"/>
        <w:widowControl w:val="0"/>
        <w:numPr>
          <w:ilvl w:val="0"/>
          <w:numId w:val="5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本节课以真题为载体，通过对比、探究、实战的方式，让学生自主体会写作技法的差异，符合高三学生的认知特点，强基班学生可适当增加更有深度的修辞和逻辑探究；</w:t>
      </w:r>
    </w:p>
    <w:p>
      <w:pPr>
        <w:keepNext w:val="0"/>
        <w:keepLines w:val="0"/>
        <w:pageBreakBefore w:val="0"/>
        <w:widowControl w:val="0"/>
        <w:numPr>
          <w:ilvl w:val="0"/>
          <w:numId w:val="5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课堂时间有限，学生实战练笔和互评的时间可适当调整，后续可通过作业批改和二次讲评，巩固学生的写作技法；</w:t>
      </w:r>
    </w:p>
    <w:p>
      <w:pPr>
        <w:keepNext w:val="0"/>
        <w:keepLines w:val="0"/>
        <w:pageBreakBefore w:val="0"/>
        <w:widowControl w:val="0"/>
        <w:numPr>
          <w:ilvl w:val="0"/>
          <w:numId w:val="5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ind w:left="0"/>
        <w:jc w:val="left"/>
        <w:textAlignment w:val="auto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 w:val="22"/>
        </w:rPr>
        <w:t>可在后续教学中，拓展其他主题的演讲稿写作（如励志、环保、感恩），让学生灵活运用本节课所学，真正实现“从写作到交际”的转变。</w:t>
      </w:r>
    </w:p>
    <w:sectPr>
      <w:headerReference r:id="rId3" w:type="default"/>
      <w:pgSz w:w="11905" w:h="16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2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">
    <w:nsid w:val="9288B902"/>
    <w:multiLevelType w:val="singleLevel"/>
    <w:tmpl w:val="9288B90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9C8AC8EF"/>
    <w:multiLevelType w:val="singleLevel"/>
    <w:tmpl w:val="9C8AC8E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9">
    <w:nsid w:val="B5E306ED"/>
    <w:multiLevelType w:val="singleLevel"/>
    <w:tmpl w:val="B5E306ED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0">
    <w:nsid w:val="B8CEF35B"/>
    <w:multiLevelType w:val="singleLevel"/>
    <w:tmpl w:val="B8CEF35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1">
    <w:nsid w:val="BB64CFA9"/>
    <w:multiLevelType w:val="singleLevel"/>
    <w:tmpl w:val="BB64CFA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4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6">
    <w:nsid w:val="D7D140E4"/>
    <w:multiLevelType w:val="singleLevel"/>
    <w:tmpl w:val="D7D140E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7">
    <w:nsid w:val="D7F9FE59"/>
    <w:multiLevelType w:val="singleLevel"/>
    <w:tmpl w:val="D7F9FE5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DCBA6B53"/>
    <w:multiLevelType w:val="singleLevel"/>
    <w:tmpl w:val="DCBA6B5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E093A4B0"/>
    <w:multiLevelType w:val="singleLevel"/>
    <w:tmpl w:val="E093A4B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0">
    <w:nsid w:val="F4B5D9F5"/>
    <w:multiLevelType w:val="singleLevel"/>
    <w:tmpl w:val="F4B5D9F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1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3">
    <w:nsid w:val="0248C179"/>
    <w:multiLevelType w:val="singleLevel"/>
    <w:tmpl w:val="0248C179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24">
    <w:nsid w:val="03D62ECE"/>
    <w:multiLevelType w:val="singleLevel"/>
    <w:tmpl w:val="03D62EC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5">
    <w:nsid w:val="0709FD3E"/>
    <w:multiLevelType w:val="singleLevel"/>
    <w:tmpl w:val="0709FD3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6">
    <w:nsid w:val="0CEF100B"/>
    <w:multiLevelType w:val="singleLevel"/>
    <w:tmpl w:val="0CEF100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0E640482"/>
    <w:multiLevelType w:val="singleLevel"/>
    <w:tmpl w:val="0E64048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8">
    <w:nsid w:val="1ACDE60F"/>
    <w:multiLevelType w:val="singleLevel"/>
    <w:tmpl w:val="1ACDE60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2470EC97"/>
    <w:multiLevelType w:val="singleLevel"/>
    <w:tmpl w:val="2470EC97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1">
    <w:nsid w:val="25B654F3"/>
    <w:multiLevelType w:val="singleLevel"/>
    <w:tmpl w:val="25B654F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2">
    <w:nsid w:val="2A8F537B"/>
    <w:multiLevelType w:val="singleLevel"/>
    <w:tmpl w:val="2A8F537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3">
    <w:nsid w:val="30FC5B15"/>
    <w:multiLevelType w:val="singleLevel"/>
    <w:tmpl w:val="30FC5B1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322D85CA"/>
    <w:multiLevelType w:val="singleLevel"/>
    <w:tmpl w:val="322D85C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5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46A08BB8"/>
    <w:multiLevelType w:val="singleLevel"/>
    <w:tmpl w:val="46A08BB8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7">
    <w:nsid w:val="4C1BAE26"/>
    <w:multiLevelType w:val="singleLevel"/>
    <w:tmpl w:val="4C1BAE2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8">
    <w:nsid w:val="4C3D7A74"/>
    <w:multiLevelType w:val="singleLevel"/>
    <w:tmpl w:val="4C3D7A7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9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0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3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4">
    <w:nsid w:val="5E29AB5A"/>
    <w:multiLevelType w:val="singleLevel"/>
    <w:tmpl w:val="5E29AB5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5">
    <w:nsid w:val="5FFFB1A7"/>
    <w:multiLevelType w:val="singleLevel"/>
    <w:tmpl w:val="5FFFB1A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6">
    <w:nsid w:val="60382F6E"/>
    <w:multiLevelType w:val="singleLevel"/>
    <w:tmpl w:val="60382F6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7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65CD0074"/>
    <w:multiLevelType w:val="singleLevel"/>
    <w:tmpl w:val="65CD007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9">
    <w:nsid w:val="72183CF9"/>
    <w:multiLevelType w:val="singleLevel"/>
    <w:tmpl w:val="72183CF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0">
    <w:nsid w:val="74C28B35"/>
    <w:multiLevelType w:val="singleLevel"/>
    <w:tmpl w:val="74C28B3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1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79AA4FA4"/>
    <w:multiLevelType w:val="singleLevel"/>
    <w:tmpl w:val="79AA4FA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3">
    <w:nsid w:val="7C246926"/>
    <w:multiLevelType w:val="singleLevel"/>
    <w:tmpl w:val="7C24692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4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22"/>
  </w:num>
  <w:num w:numId="2">
    <w:abstractNumId w:val="15"/>
  </w:num>
  <w:num w:numId="3">
    <w:abstractNumId w:val="42"/>
  </w:num>
  <w:num w:numId="4">
    <w:abstractNumId w:val="13"/>
  </w:num>
  <w:num w:numId="5">
    <w:abstractNumId w:val="9"/>
  </w:num>
  <w:num w:numId="6">
    <w:abstractNumId w:val="24"/>
  </w:num>
  <w:num w:numId="7">
    <w:abstractNumId w:val="31"/>
  </w:num>
  <w:num w:numId="8">
    <w:abstractNumId w:val="49"/>
  </w:num>
  <w:num w:numId="9">
    <w:abstractNumId w:val="23"/>
  </w:num>
  <w:num w:numId="10">
    <w:abstractNumId w:val="5"/>
  </w:num>
  <w:num w:numId="11">
    <w:abstractNumId w:val="32"/>
  </w:num>
  <w:num w:numId="12">
    <w:abstractNumId w:val="43"/>
  </w:num>
  <w:num w:numId="13">
    <w:abstractNumId w:val="14"/>
  </w:num>
  <w:num w:numId="14">
    <w:abstractNumId w:val="39"/>
  </w:num>
  <w:num w:numId="15">
    <w:abstractNumId w:val="20"/>
  </w:num>
  <w:num w:numId="16">
    <w:abstractNumId w:val="30"/>
  </w:num>
  <w:num w:numId="17">
    <w:abstractNumId w:val="18"/>
  </w:num>
  <w:num w:numId="18">
    <w:abstractNumId w:val="17"/>
  </w:num>
  <w:num w:numId="19">
    <w:abstractNumId w:val="7"/>
  </w:num>
  <w:num w:numId="20">
    <w:abstractNumId w:val="37"/>
  </w:num>
  <w:num w:numId="21">
    <w:abstractNumId w:val="46"/>
  </w:num>
  <w:num w:numId="22">
    <w:abstractNumId w:val="27"/>
  </w:num>
  <w:num w:numId="23">
    <w:abstractNumId w:val="36"/>
  </w:num>
  <w:num w:numId="24">
    <w:abstractNumId w:val="8"/>
  </w:num>
  <w:num w:numId="25">
    <w:abstractNumId w:val="53"/>
  </w:num>
  <w:num w:numId="26">
    <w:abstractNumId w:val="51"/>
  </w:num>
  <w:num w:numId="27">
    <w:abstractNumId w:val="12"/>
  </w:num>
  <w:num w:numId="28">
    <w:abstractNumId w:val="47"/>
  </w:num>
  <w:num w:numId="29">
    <w:abstractNumId w:val="6"/>
  </w:num>
  <w:num w:numId="30">
    <w:abstractNumId w:val="35"/>
  </w:num>
  <w:num w:numId="31">
    <w:abstractNumId w:val="2"/>
  </w:num>
  <w:num w:numId="32">
    <w:abstractNumId w:val="41"/>
  </w:num>
  <w:num w:numId="33">
    <w:abstractNumId w:val="54"/>
  </w:num>
  <w:num w:numId="34">
    <w:abstractNumId w:val="0"/>
  </w:num>
  <w:num w:numId="35">
    <w:abstractNumId w:val="29"/>
  </w:num>
  <w:num w:numId="36">
    <w:abstractNumId w:val="40"/>
  </w:num>
  <w:num w:numId="37">
    <w:abstractNumId w:val="21"/>
  </w:num>
  <w:num w:numId="38">
    <w:abstractNumId w:val="19"/>
  </w:num>
  <w:num w:numId="39">
    <w:abstractNumId w:val="33"/>
  </w:num>
  <w:num w:numId="40">
    <w:abstractNumId w:val="52"/>
  </w:num>
  <w:num w:numId="41">
    <w:abstractNumId w:val="11"/>
  </w:num>
  <w:num w:numId="42">
    <w:abstractNumId w:val="4"/>
  </w:num>
  <w:num w:numId="43">
    <w:abstractNumId w:val="10"/>
  </w:num>
  <w:num w:numId="44">
    <w:abstractNumId w:val="44"/>
  </w:num>
  <w:num w:numId="45">
    <w:abstractNumId w:val="1"/>
  </w:num>
  <w:num w:numId="46">
    <w:abstractNumId w:val="28"/>
  </w:num>
  <w:num w:numId="47">
    <w:abstractNumId w:val="3"/>
  </w:num>
  <w:num w:numId="48">
    <w:abstractNumId w:val="45"/>
  </w:num>
  <w:num w:numId="49">
    <w:abstractNumId w:val="50"/>
  </w:num>
  <w:num w:numId="50">
    <w:abstractNumId w:val="38"/>
  </w:num>
  <w:num w:numId="51">
    <w:abstractNumId w:val="34"/>
  </w:num>
  <w:num w:numId="52">
    <w:abstractNumId w:val="48"/>
  </w:num>
  <w:num w:numId="53">
    <w:abstractNumId w:val="25"/>
  </w:num>
  <w:num w:numId="54">
    <w:abstractNumId w:val="26"/>
  </w:num>
  <w:num w:numId="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F072D"/>
    <w:rsid w:val="09EC13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824</Words>
  <Characters>870</Characters>
  <TotalTime>9</TotalTime>
  <ScaleCrop>false</ScaleCrop>
  <LinksUpToDate>false</LinksUpToDate>
  <CharactersWithSpaces>882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2026-03-13T04:29:00Z</dcterms:created>
  <dc:creator>Apache POI</dc:creator>
  <cp:lastModifiedBy>Administrator</cp:lastModifiedBy>
  <dcterms:modified xsi:type="dcterms:W3CDTF">2026-03-13T07:13:46Z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eyJoZGlkIjoiNGIwOTViYWRhMzhkNDA3MzQ5ODlmMzNlNTJkYjM5MjQiLCJ1c2VySWQiOiIyMzk4Mzc1NTkifQ==</vt:lpwstr>
  </property>
  <property fmtid="{D5CDD505-2E9C-101B-9397-08002B2CF9AE}" pid="3" name="KSOProductBuildVer">
    <vt:lpwstr>2052-11.8.2.7978</vt:lpwstr>
  </property>
  <property fmtid="{D5CDD505-2E9C-101B-9397-08002B2CF9AE}" pid="4" name="ICV">
    <vt:lpwstr>251EC1931250432AAE39F3E5630D7AA5_13</vt:lpwstr>
  </property>
</Properties>
</file>